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20" w:rsidRDefault="00501420" w:rsidP="0050142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501420" w:rsidRDefault="00501420" w:rsidP="00501420">
      <w:pPr>
        <w:jc w:val="center"/>
        <w:rPr>
          <w:rFonts w:eastAsia="华文中宋" w:hAnsi="华文中宋" w:hint="eastAsia"/>
          <w:sz w:val="32"/>
        </w:rPr>
      </w:pPr>
      <w:r>
        <w:rPr>
          <w:rFonts w:ascii="华文中宋" w:eastAsia="华文中宋" w:hAnsi="华文中宋" w:cs="华文中宋" w:hint="eastAsia"/>
          <w:sz w:val="32"/>
        </w:rPr>
        <w:t>技工教育和职业培训课题选题</w:t>
      </w:r>
      <w:r>
        <w:rPr>
          <w:rFonts w:eastAsia="华文中宋" w:hAnsi="华文中宋" w:hint="eastAsia"/>
          <w:sz w:val="32"/>
        </w:rPr>
        <w:t>分类表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5223"/>
      </w:tblGrid>
      <w:tr w:rsidR="00501420" w:rsidTr="00501420">
        <w:trPr>
          <w:trHeight w:val="350"/>
        </w:trPr>
        <w:tc>
          <w:tcPr>
            <w:tcW w:w="299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01420" w:rsidRDefault="00501420">
            <w:pPr>
              <w:pStyle w:val="2"/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5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501420" w:rsidRDefault="00501420">
            <w:pPr>
              <w:pStyle w:val="2"/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细类</w:t>
            </w:r>
          </w:p>
        </w:tc>
      </w:tr>
      <w:tr w:rsidR="00501420" w:rsidTr="00501420">
        <w:trPr>
          <w:trHeight w:val="350"/>
        </w:trPr>
        <w:tc>
          <w:tcPr>
            <w:tcW w:w="2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一、职业与职业技能评价研究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1-1  职业分类与新职业研究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1-2  新就业形态、体面劳动、高质量就业研究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1-3  职业分析、 职业标准研究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1-4  职业资格、职业技能标准研究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1-5  技能人才评价研究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1-5  其他</w:t>
            </w:r>
          </w:p>
        </w:tc>
      </w:tr>
      <w:tr w:rsidR="00501420" w:rsidTr="00501420">
        <w:trPr>
          <w:trHeight w:val="567"/>
        </w:trPr>
        <w:tc>
          <w:tcPr>
            <w:tcW w:w="2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二、职业（技工）教育宏观政策和创新发展研究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2-1  职业（技工）教育宏观政策研究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2-2  职业（技工）教育创新发展研究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2-3  职业（技工）教育法律法规研究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2-4  现代职业教育体系研究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2-5  终身职业技能培训体系研究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2-6  其他</w:t>
            </w:r>
          </w:p>
        </w:tc>
      </w:tr>
      <w:tr w:rsidR="00501420" w:rsidTr="00501420">
        <w:trPr>
          <w:trHeight w:val="567"/>
        </w:trPr>
        <w:tc>
          <w:tcPr>
            <w:tcW w:w="2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三、产教融合和职业教育办学研究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3-1  产教融合研究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3-2  多元化办学与混合所有制研究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3-3  职业教育实践环节与校企合作研究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3-4  中国特色学徒制研究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3-5  其他</w:t>
            </w:r>
          </w:p>
        </w:tc>
      </w:tr>
      <w:tr w:rsidR="00501420" w:rsidTr="00501420">
        <w:trPr>
          <w:trHeight w:val="567"/>
        </w:trPr>
        <w:tc>
          <w:tcPr>
            <w:tcW w:w="2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四、专业建设课程建设与教学研究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4-1  专业目录与建设研究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4-2  专业教学标准体系建设研究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4-3  职业教育课程开发模式研究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4-4  职业教育课程标准开发研究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4-5  一体化课程建设、职业培训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包开发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4-6  德育课程、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思政课程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与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课程思政研究</w:t>
            </w:r>
            <w:proofErr w:type="gramEnd"/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4-7  职业教育实践环节研究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4-8  职业教育教学方法研究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4-9  职业教育教材开发研究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4-10  其他</w:t>
            </w:r>
          </w:p>
        </w:tc>
      </w:tr>
      <w:tr w:rsidR="00501420" w:rsidTr="00501420">
        <w:trPr>
          <w:trHeight w:val="567"/>
        </w:trPr>
        <w:tc>
          <w:tcPr>
            <w:tcW w:w="2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五、职业素养、创新创业教育、劳动教育研究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5-1  职业指导、就业服务、职业素养研究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5-2  创新创业教育研究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5-3  劳动教育研究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5-4  其他</w:t>
            </w:r>
          </w:p>
        </w:tc>
      </w:tr>
      <w:tr w:rsidR="00501420" w:rsidTr="00501420">
        <w:tc>
          <w:tcPr>
            <w:tcW w:w="2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六、职业教育师资队伍建设研究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6-1  职业教育“双师型”与“一体化”教师研究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6-2  职业院校班主任与辅导员工作研究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6-3  职业院校教师继续教育与专业化发展研究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6-4  职业教育校长、教师专业标准与专业能力认证研究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6-5  职业技术师范教育研究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6-6  其他</w:t>
            </w:r>
          </w:p>
        </w:tc>
      </w:tr>
      <w:tr w:rsidR="00501420" w:rsidTr="00501420">
        <w:tc>
          <w:tcPr>
            <w:tcW w:w="2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七、职业教育信息化与数字技能研究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7-1  职业教育信息化管理与智慧校园研究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7-2  职业教育教学信息化研究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7-3  数字技能开发研究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7-4  其他</w:t>
            </w:r>
          </w:p>
        </w:tc>
      </w:tr>
      <w:tr w:rsidR="00501420" w:rsidTr="00501420">
        <w:tc>
          <w:tcPr>
            <w:tcW w:w="299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八、职业技能培训研究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noWrap/>
            <w:hideMark/>
          </w:tcPr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8-1  职业培训的理论研究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8-2  企业职业培训与企业大学研究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8-3  职业培训教材开发研究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8-4  职业培训信息化研究</w:t>
            </w:r>
          </w:p>
          <w:p w:rsidR="00501420" w:rsidRDefault="00501420">
            <w:pPr>
              <w:pStyle w:val="2"/>
              <w:spacing w:line="320" w:lineRule="exact"/>
              <w:ind w:leftChars="0" w:left="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8-5  其他</w:t>
            </w:r>
          </w:p>
        </w:tc>
      </w:tr>
    </w:tbl>
    <w:p w:rsidR="003C44D1" w:rsidRDefault="003C44D1">
      <w:bookmarkStart w:id="0" w:name="_GoBack"/>
      <w:bookmarkEnd w:id="0"/>
    </w:p>
    <w:sectPr w:rsidR="003C4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92"/>
    <w:rsid w:val="00230892"/>
    <w:rsid w:val="003C44D1"/>
    <w:rsid w:val="005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qFormat/>
    <w:rsid w:val="00501420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501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qFormat/>
    <w:rsid w:val="00501420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50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KW</cp:lastModifiedBy>
  <cp:revision>2</cp:revision>
  <dcterms:created xsi:type="dcterms:W3CDTF">2021-05-19T00:29:00Z</dcterms:created>
  <dcterms:modified xsi:type="dcterms:W3CDTF">2021-05-19T00:29:00Z</dcterms:modified>
</cp:coreProperties>
</file>